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11"/>
        <w:spacing w:before="0" w:after="0"/>
        <w:jc w:val="both"/>
        <w:rPr>
          <w:rFonts w:eastAsia="+mn-ea"/>
          <w:b/>
          <w:color w:val="000000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195" cy="729674"/>
                <wp:effectExtent l="0" t="0" r="0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1984195" cy="729674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5pt;mso-wrap-distance-left:0.00pt;mso-wrap-distance-top:0.00pt;mso-wrap-distance-right:0.00pt;mso-wrap-distance-bottom:0.00pt;" stroked="false">
                <v:path textboxrect="0,0,0,0"/>
                <v:imagedata r:id="rId7" o:title=""/>
              </v:shape>
            </w:pict>
          </mc:Fallback>
        </mc:AlternateContent>
      </w:r>
      <w:r>
        <w:rPr>
          <w:rFonts w:eastAsia="+mn-ea" w:cs="Times New Roman"/>
          <w:b w:val="0"/>
          <w:bCs w:val="0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</w:t>
      </w:r>
    </w:p>
    <w:p>
      <w:pPr>
        <w:pStyle w:val="style5"/>
        <w:spacing w:line="257" w:lineRule="auto"/>
        <w:ind w:left="0" w:right="0"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pStyle w:val="style11"/>
        <w:spacing w:before="0" w:after="0"/>
        <w:jc w:val="right"/>
        <w:rPr>
          <w:rFonts w:eastAsia="+mn-ea"/>
          <w:b/>
          <w:color w:val="000000"/>
          <w:sz w:val="28"/>
          <w:szCs w:val="28"/>
        </w:rPr>
      </w:pPr>
      <w:r>
        <w:rPr>
          <w:rFonts w:ascii="Times New Roman" w:hAnsi="Times New Roman" w:eastAsia="+mn-ea" w:cs="Times New Roman"/>
          <w:b/>
          <w:bCs/>
          <w:color w:val="000000"/>
          <w:sz w:val="32"/>
          <w:szCs w:val="32"/>
        </w:rPr>
        <w:t xml:space="preserve">ПРЕСС-РЕЛИЗ</w:t>
        <w:br/>
      </w:r>
      <w:r>
        <w:rPr>
          <w:rFonts w:ascii="Times New Roman" w:hAnsi="Times New Roman" w:eastAsia="+mn-ea" w:cs="Times New Roman"/>
          <w:b w:val="0"/>
          <w:bCs w:val="0"/>
          <w:color w:val="000000"/>
          <w:sz w:val="32"/>
          <w:szCs w:val="32"/>
        </w:rPr>
        <w:t xml:space="preserve">02.11</w:t>
      </w:r>
      <w:r>
        <w:rPr>
          <w:rFonts w:ascii="Times New Roman" w:hAnsi="Times New Roman" w:eastAsia="+mn-ea" w:cs="Times New Roman"/>
          <w:b w:val="0"/>
          <w:bCs w:val="0"/>
          <w:color w:val="000000"/>
          <w:sz w:val="32"/>
          <w:szCs w:val="32"/>
        </w:rPr>
        <w:t xml:space="preserve">.2024</w:t>
      </w:r>
    </w:p>
    <w:p>
      <w:pPr>
        <w:pStyle w:val="style11"/>
        <w:spacing w:before="0" w:after="0"/>
        <w:jc w:val="right"/>
        <w:rPr>
          <w:rFonts w:eastAsia="+mn-ea"/>
          <w:b/>
          <w:color w:val="000000"/>
          <w:sz w:val="28"/>
          <w:szCs w:val="28"/>
        </w:rPr>
      </w:pPr>
      <w:r>
        <w:rPr>
          <w:rFonts w:ascii="Times New Roman" w:hAnsi="Times New Roman" w:eastAsia="+mn-ea" w:cs="Times New Roman"/>
          <w:b w:val="0"/>
          <w:bCs w:val="0"/>
          <w:color w:val="000000"/>
          <w:sz w:val="32"/>
          <w:szCs w:val="32"/>
        </w:rPr>
      </w:r>
    </w:p>
    <w:p>
      <w:pPr>
        <w:pStyle w:val="style11"/>
        <w:spacing w:before="0" w:after="0"/>
        <w:jc w:val="right"/>
        <w:rPr>
          <w:rFonts w:eastAsia="+mn-ea"/>
          <w:b/>
          <w:color w:val="000000"/>
          <w:sz w:val="28"/>
          <w:szCs w:val="28"/>
        </w:rPr>
      </w:pPr>
      <w:r>
        <w:rPr>
          <w:rFonts w:ascii="Times New Roman" w:hAnsi="Times New Roman" w:eastAsia="+mn-ea" w:cs="Times New Roman"/>
          <w:b w:val="0"/>
          <w:bCs w:val="0"/>
          <w:color w:val="000000"/>
          <w:sz w:val="32"/>
          <w:szCs w:val="32"/>
        </w:rPr>
      </w:r>
    </w:p>
    <w:p>
      <w:pPr>
        <w:pStyle w:val="style11"/>
        <w:spacing w:before="0" w:after="0"/>
        <w:jc w:val="left"/>
        <w:rPr>
          <w:rFonts w:eastAsia="+mn-ea"/>
          <w:b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 xml:space="preserve">О проведении в Управлении семинара-совещания с Управлением Федеральной налоговой службы по Алтайскому краю </w:t>
      </w:r>
      <w:r>
        <w:rPr>
          <w:rFonts w:eastAsia="+mn-ea"/>
          <w:b/>
          <w:color w:val="000000"/>
          <w:sz w:val="28"/>
          <w:szCs w:val="28"/>
        </w:rPr>
      </w:r>
    </w:p>
    <w:p>
      <w:pPr>
        <w:pStyle w:val="style5"/>
        <w:jc w:val="center"/>
        <w:rPr>
          <w:b/>
          <w:sz w:val="28"/>
          <w:szCs w:val="28"/>
        </w:rPr>
      </w:pPr>
    </w:p>
    <w:p>
      <w:pPr>
        <w:pStyle w:val="style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Вчера</w:t>
      </w:r>
      <w:r>
        <w:rPr>
          <w:sz w:val="28"/>
          <w:szCs w:val="28"/>
        </w:rPr>
        <w:t xml:space="preserve"> в Управлении Росреестра по Алтайскому краю прошел ставший уже традиционным Семинар-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овещание, посвященный вопросам информационного взаимодействия Управления Росреестра по Алтайскому краю с Управлением Федеральной налоговой службы по Алтайскому краю при реализации полномочий в делах о банкротстве и процедурах, применяемых в делах о банкротстве, осуществлении полномочий, предоставленных </w:t>
        <w:t xml:space="preserve">  </w:t>
        <w:t xml:space="preserve">КоАП РФ. </w:t>
        <w:t xml:space="preserve"> </w:t>
      </w:r>
    </w:p>
    <w:p>
      <w:pPr>
        <w:pStyle w:val="style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Семинара-овещания приняли участие специалисты отдела по контролю (надзору) в сфере саморегулируемых организаций Управления, специалисты отдела обеспечения процедур банкротства УФНС по Алтайскому краю, а также представители межрайонных инспекций по Алтайскому краю.</w:t>
      </w:r>
    </w:p>
    <w:p>
      <w:pPr>
        <w:pStyle w:val="style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семинаре были обсуждены вопросы реализации полномочий уполномоченного органа и органа по контролю в делах о несостоятельности (банкротстве); ключевые темы информационного взаимодействия Управления и УФНС по Алтайскому краю; на примере типичных нарушений допускаемых арбитражными управляющими в делах о банкротстве, проанализированы жалобы (обращения) УФНС по Алтайскому краю поступившие в Управление в 2024 году. </w:t>
      </w:r>
    </w:p>
    <w:p>
      <w:pPr>
        <w:pStyle w:val="style5"/>
        <w:ind w:left="0" w:righ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«ФНС России является ключевым кредитором в делах о несостоятельности (банкротстве), вопрос о взаимном сотрудничестве между нашими федеральными ведомствами является актуальным, в связи, с чем в рамках совещания была проанализирована эффективность проводимых совместных мероприятий, направленных на обеспечение соблюдения законодательства о несостоятельности (банкротстве). Особое внимание было обращено на деятельность арбитражных управляющих предприятий с длительным сроком банкротства, срок процедур которых составляет семь и более лет, также не теряет актуальности тема своевременности выплаты заработной платы на предприятиях - банкротах»,</w:t>
      </w:r>
      <w:r>
        <w:rPr>
          <w:sz w:val="28"/>
          <w:szCs w:val="28"/>
        </w:rPr>
        <w:t xml:space="preserve"> - отмечает заместитель руководителя Управления Елена Саулина. </w:t>
        <w:t xml:space="preserve">  </w:t>
      </w:r>
    </w:p>
    <w:p>
      <w:pPr>
        <w:pStyle w:val="style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УФНС России по Алтайскому краю Наталья Шелехова подчеркнула: </w:t>
      </w:r>
      <w:r>
        <w:rPr>
          <w:i/>
          <w:iCs/>
          <w:sz w:val="28"/>
          <w:szCs w:val="28"/>
        </w:rPr>
        <w:t xml:space="preserve">«Проведение совещаний с Управлением Росреестра по Алтайскому краю по вопросам информационного взаимодействия в рамках реализации совместных полномочий в сфере законодательства о несостоятельности (банкротстве), способствует обмену опытом и практикой, в том числе в части определения единой </w:t>
      </w:r>
      <w:r>
        <w:rPr>
          <w:i/>
          <w:iCs/>
          <w:sz w:val="28"/>
          <w:szCs w:val="28"/>
        </w:rPr>
        <w:t xml:space="preserve">правовой позиции по применению законодательства о несостоятельности (банкротстве)».</w:t>
      </w:r>
    </w:p>
    <w:p>
      <w:pPr>
        <w:pStyle w:val="style5"/>
        <w:ind w:left="0" w:righ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5388860" cy="4041465"/>
                <wp:effectExtent l="0" t="0" r="0" b="0"/>
                <wp:wrapSquare wrapText="bothSides"/>
                <wp:docPr id="2" name="Изображение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5388860" cy="4041465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3;o:allowoverlap:true;o:allowincell:true;mso-position-horizontal-relative:text;mso-position-horizontal:center;mso-position-vertical-relative:text;mso-position-vertical:top;width:424.32pt;height:318.23pt;mso-wrap-distance-left:0.00pt;mso-wrap-distance-top:0.00pt;mso-wrap-distance-right:0.00pt;mso-wrap-distance-bottom:0.00pt;" stroked="false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<wp:simplePos x="0" y="0"/>
                <wp:positionH relativeFrom="column">
                  <wp:posOffset>571643</wp:posOffset>
                </wp:positionH>
                <wp:positionV relativeFrom="paragraph">
                  <wp:posOffset>4306408</wp:posOffset>
                </wp:positionV>
                <wp:extent cx="5484254" cy="4113100"/>
                <wp:effectExtent l="0" t="0" r="0" b="0"/>
                <wp:wrapSquare wrapText="bothSides"/>
                <wp:docPr id="3" name="Изображение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5484254" cy="4113100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4;o:allowoverlap:true;o:allowincell:true;mso-position-horizontal-relative:text;margin-left:45.01pt;mso-position-horizontal:absolute;mso-position-vertical-relative:text;margin-top:339.09pt;mso-position-vertical:absolute;width:431.83pt;height:323.87pt;mso-wrap-distance-left:0.00pt;mso-wrap-distance-top:0.00pt;mso-wrap-distance-right:0.00pt;mso-wrap-distance-bottom:0.0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i/>
          <w:iCs/>
          <w:sz w:val="28"/>
          <w:szCs w:val="28"/>
        </w:rPr>
        <w:t xml:space="preserve">      </w:t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ascii="Times New Roman" w:hAnsi="Times New Roman" w:eastAsia="Calibri"/>
          <w:b/>
          <w:sz w:val="22"/>
          <w:szCs w:val="22"/>
          <w:lang w:eastAsia="sk-SK"/>
        </w:rPr>
        <w:t xml:space="preserve">Об Управлении Росреестра по Алтайскому краю</w:t>
      </w:r>
    </w:p>
    <w:p>
      <w:pPr>
        <w:pStyle w:val="style5"/>
        <w:widowControl/>
        <w:shd w:val="clear" w:color="auto" w:fill="auto"/>
        <w:spacing w:before="0" w:after="160" w:line="259" w:lineRule="auto"/>
        <w:ind w:left="-339"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Calibri"/>
          <w:sz w:val="22"/>
          <w:szCs w:val="22"/>
          <w:lang w:eastAsia="en-US"/>
        </w:rPr>
        <w:t xml:space="preserve"> – Юрий Викторович Калашников.</w:t>
      </w:r>
    </w:p>
    <w:p>
      <w:pPr>
        <w:pStyle w:val="style5"/>
        <w:widowControl/>
        <w:shd w:val="clear" w:color="auto" w:fill="auto"/>
        <w:spacing w:before="0" w:after="160" w:line="259" w:lineRule="auto"/>
        <w:ind w:left="-339" w:right="0" w:firstLine="0"/>
        <w:jc w:val="both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ascii="Times New Roman" w:hAnsi="Times New Roman" w:eastAsia="Calibri"/>
          <w:b/>
          <w:sz w:val="22"/>
          <w:szCs w:val="22"/>
          <w:lang w:eastAsia="sk-SK"/>
        </w:rPr>
        <w:t xml:space="preserve">Контакты для СМИ</w:t>
      </w:r>
    </w:p>
    <w:p>
      <w:pPr>
        <w:pStyle w:val="style5"/>
        <w:widowControl/>
        <w:shd w:val="clear" w:color="auto" w:fill="auto"/>
        <w:spacing w:before="0" w:after="160" w:line="259" w:lineRule="auto"/>
        <w:ind w:left="-339" w:right="0"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</w:p>
    <w:p>
      <w:pPr>
        <w:pStyle w:val="style5"/>
        <w:widowControl/>
        <w:shd w:val="clear" w:color="auto" w:fill="auto"/>
        <w:spacing w:before="0" w:after="160" w:line="259" w:lineRule="auto"/>
        <w:ind w:left="-339" w:right="0" w:firstLine="0"/>
        <w:jc w:val="left"/>
      </w:pPr>
      <w:hyperlink r:id="rId10">
        <w:r>
          <w:rPr>
            <w:rFonts w:ascii="Times New Roman" w:hAnsi="Times New Roman" w:eastAsia="Calibri"/>
            <w:i/>
            <w:iCs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Calibri"/>
          <w:i/>
          <w:iCs/>
          <w:sz w:val="22"/>
          <w:szCs w:val="22"/>
          <w:lang w:eastAsia="en-US"/>
        </w:rPr>
        <w:t xml:space="preserve">656002, Барнаул, ул. Советская, д. 16</w:t>
        <w:br/>
        <w:t xml:space="preserve">Сайт Росреестра: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hyperlink r:id="rId11">
        <w:r>
          <w:rPr>
            <w:rStyle w:val="style15"/>
          </w:rPr>
        </w:r>
        <w:r>
          <w:rPr>
            <w:rStyle w:val="style15"/>
            <w:rFonts w:ascii="Times New Roman" w:hAnsi="Times New Roman" w:eastAsia="Calibri"/>
            <w:i/>
            <w:iCs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Style w:val="style15"/>
            <w:rFonts w:ascii="Times New Roman" w:hAnsi="Times New Roman" w:eastAsia="Calibri"/>
            <w:i/>
            <w:iCs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Style w:val="style15"/>
            <w:rFonts w:ascii="Times New Roman" w:hAnsi="Times New Roman" w:eastAsia="Calibri"/>
            <w:i/>
            <w:iCs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Style w:val="style15"/>
            <w:rFonts w:ascii="Times New Roman" w:hAnsi="Times New Roman" w:eastAsia="Calibri"/>
            <w:i/>
            <w:iCs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Style w:val="style15"/>
            <w:rFonts w:ascii="Times New Roman" w:hAnsi="Times New Roman" w:eastAsia="Calibri"/>
            <w:i/>
            <w:iCs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Style w:val="style15"/>
            <w:rFonts w:ascii="Times New Roman" w:hAnsi="Times New Roman" w:eastAsia="Calibri"/>
            <w:i/>
            <w:iCs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Style w:val="style15"/>
            <w:rFonts w:ascii="Times New Roman" w:hAnsi="Times New Roman" w:eastAsia="Calibri"/>
            <w:i/>
            <w:iCs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Calibri"/>
          <w:i/>
          <w:iCs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hyperlink r:id="rId12">
        <w:r>
          <w:rPr>
            <w:rStyle w:val="style15"/>
          </w:rPr>
        </w:r>
        <w:r>
          <w:rPr>
            <w:rStyle w:val="style15"/>
            <w:i/>
            <w:iCs/>
          </w:rPr>
          <w:t xml:space="preserve">https://dzen.ru/id/6392ad9bbc8b8d2fd42961a7</w:t>
        </w:r>
      </w:hyperlink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t xml:space="preserve"> </w:t>
        <w:br/>
      </w:r>
      <w:r>
        <w:rPr>
          <w:rFonts w:ascii="Times New Roman" w:hAnsi="Times New Roman" w:eastAsia="Calibri"/>
          <w:i/>
          <w:iCs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Calibri"/>
          <w:i/>
          <w:iCs/>
          <w:color w:val="0000ff"/>
          <w:sz w:val="22"/>
          <w:szCs w:val="22"/>
          <w:shd w:val="clear" w:color="auto" w:fill="ffffff"/>
        </w:rPr>
        <w:t xml:space="preserve"> </w:t>
      </w:r>
      <w:hyperlink r:id="rId13">
        <w:r>
          <w:rPr>
            <w:rStyle w:val="style15"/>
          </w:rPr>
        </w:r>
        <w:r>
          <w:rPr>
            <w:rStyle w:val="style15"/>
            <w:i/>
            <w:iCs/>
          </w:rPr>
          <w:t xml:space="preserve">https://vk.com/rosreestr_altaiskii_krai</w:t>
        </w:r>
      </w:hyperlink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Calibri"/>
          <w:i/>
          <w:iCs/>
          <w:color w:val="0000ff"/>
          <w:sz w:val="22"/>
          <w:szCs w:val="22"/>
          <w:shd w:val="clear" w:color="auto" w:fill="ffffff"/>
        </w:rPr>
        <w:br/>
      </w:r>
      <w:r>
        <w:rPr>
          <w:rFonts w:ascii="Times New Roman" w:hAnsi="Times New Roman" w:eastAsia="Calibri"/>
          <w:i/>
          <w:iCs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4">
        <w:r>
          <w:rPr>
            <w:rStyle w:val="style15"/>
          </w:rPr>
        </w:r>
        <w:r>
          <w:rPr>
            <w:rStyle w:val="style15"/>
            <w:i/>
            <w:iCs/>
          </w:rPr>
          <w:t xml:space="preserve">https://web.telegram.org/k/#@rosreestr_altaiskii_krai</w:t>
        </w:r>
      </w:hyperlink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Calibri"/>
          <w:i/>
          <w:iCs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5">
        <w:r>
          <w:rPr>
            <w:rStyle w:val="style15"/>
          </w:rPr>
        </w:r>
        <w:r>
          <w:rPr>
            <w:rStyle w:val="style15"/>
            <w:i/>
            <w:iCs/>
          </w:rPr>
          <w:t xml:space="preserve">https://ok.ru/rosreestr22alt.krai</w:t>
        </w:r>
      </w:hyperlink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br/>
      </w:r>
      <w:hyperlink r:id="rId16">
        <w:r>
          <w:rPr>
            <w:rStyle w:val="style15"/>
          </w:rPr>
        </w:r>
        <w:r>
          <w:rPr>
            <w:rStyle w:val="style15"/>
            <w:i/>
            <w:iCs/>
          </w:rPr>
          <w:t xml:space="preserve">https://vk.com/video-46688657_456239105</w:t>
        </w:r>
      </w:hyperlink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t xml:space="preserve"> </w:t>
      </w:r>
    </w:p>
    <w:sectPr>
      <w:type w:val="nextPage"/>
      <w:pgSz w:w="11905" w:h="16837" w:orient="portrait"/>
      <w:pgMar w:top="1134" w:right="850" w:bottom="1134" w:left="567" w:header="1134" w:footer="1134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+mn-ea">
    <w:panose1 w:val="02020603050405020304"/>
  </w:font>
  <w:font w:name="Times New Roman">
    <w:panose1 w:val="02020603050405020304"/>
  </w:font>
  <w:font w:name="Noto Sans Devanagari">
    <w:panose1 w:val="020B0502040504020204"/>
  </w:font>
  <w:font w:name="Tahoma">
    <w:panose1 w:val="020B0604030504040204"/>
  </w:font>
  <w:font w:name="PT Astra Serif">
    <w:panose1 w:val="020A060304050502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lvlJc w:val="left"/>
      <w:pPr>
        <w:ind w:left="0" w:firstLine="0"/>
      </w:pPr>
    </w:lvl>
    <w:lvl w:ilvl="1">
      <w:start w:val="1"/>
      <w:lvlJc w:val="left"/>
      <w:pPr>
        <w:ind w:left="0" w:firstLine="0"/>
      </w:pPr>
    </w:lvl>
    <w:lvl w:ilvl="2">
      <w:start w:val="1"/>
      <w:lvlJc w:val="left"/>
      <w:pPr>
        <w:ind w:left="0" w:firstLine="0"/>
      </w:pPr>
    </w:lvl>
    <w:lvl w:ilvl="3">
      <w:start w:val="1"/>
      <w:lvlJc w:val="left"/>
      <w:pPr>
        <w:ind w:left="0" w:firstLine="0"/>
      </w:pPr>
    </w:lvl>
    <w:lvl w:ilvl="4">
      <w:start w:val="1"/>
      <w:lvlJc w:val="left"/>
      <w:pPr>
        <w:ind w:left="0" w:firstLine="0"/>
      </w:pPr>
    </w:lvl>
    <w:lvl w:ilvl="5">
      <w:start w:val="1"/>
      <w:lvlJc w:val="left"/>
      <w:pPr>
        <w:ind w:left="0" w:firstLine="0"/>
      </w:pPr>
    </w:lvl>
    <w:lvl w:ilvl="6">
      <w:start w:val="1"/>
      <w:lvlJc w:val="left"/>
      <w:pPr>
        <w:ind w:left="0" w:firstLine="0"/>
      </w:pPr>
    </w:lvl>
    <w:lvl w:ilvl="7">
      <w:start w:val="1"/>
      <w:lvlJc w:val="left"/>
      <w:pPr>
        <w:ind w:left="0" w:firstLine="0"/>
      </w:pPr>
    </w:lvl>
    <w:lvl w:ilvl="8">
      <w:start w:val="1"/>
      <w:lvlJc w:val="left"/>
      <w:pPr>
        <w:ind w:left="0" w:firstLine="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2" w:default="1">
    <w:name w:val="DStyle_paragraph"/>
    <w:rPr>
      <w:rFonts w:ascii="PT Astra Serif" w:hAnsi="PT Astra Serif" w:eastAsia="Tahoma" w:cs="Noto Sans Devanagari"/>
      <w:color w:val="auto"/>
      <w:sz w:val="24"/>
      <w:szCs w:val="24"/>
      <w:lang w:val="ru-RU" w:eastAsia="zh-CN" w:bidi="hi-IN"/>
    </w:rPr>
  </w:style>
  <w:style w:type="paragraph" w:styleId="style5" w:customStyle="1">
    <w:name w:val="Standard"/>
    <w:basedOn w:val="style2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bidi="ar-SA"/>
    </w:rPr>
  </w:style>
  <w:style w:type="paragraph" w:styleId="style6" w:customStyle="1">
    <w:name w:val="Heading"/>
    <w:basedOn w:val="style5"/>
    <w:next w:val="style7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7" w:customStyle="1">
    <w:name w:val="Text body"/>
    <w:basedOn w:val="style5"/>
    <w:qFormat/>
    <w:pPr>
      <w:spacing w:before="0" w:after="140" w:line="276" w:lineRule="auto"/>
    </w:pPr>
  </w:style>
  <w:style w:type="paragraph" w:styleId="style8" w:customStyle="1">
    <w:name w:val="List"/>
    <w:basedOn w:val="style7"/>
    <w:rPr>
      <w:rFonts w:ascii="PT Astra Serif" w:hAnsi="PT Astra Serif" w:cs="Noto Sans Devanagari"/>
    </w:rPr>
  </w:style>
  <w:style w:type="paragraph" w:styleId="style9" w:customStyle="1">
    <w:name w:val="Caption"/>
    <w:basedOn w:val="style5"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0" w:customStyle="1">
    <w:name w:val="Index"/>
    <w:basedOn w:val="style5"/>
    <w:rPr>
      <w:rFonts w:ascii="PT Astra Serif" w:hAnsi="PT Astra Serif" w:cs="Noto Sans Devanagari"/>
    </w:rPr>
  </w:style>
  <w:style w:type="paragraph" w:styleId="style11" w:customStyle="1">
    <w:name w:val="Обычный (веб)"/>
    <w:basedOn w:val="style5"/>
    <w:qFormat/>
    <w:pPr>
      <w:spacing w:before="280" w:after="280"/>
    </w:pPr>
  </w:style>
  <w:style w:type="paragraph" w:styleId="style12" w:customStyle="1">
    <w:name w:val="Текст выноски"/>
    <w:basedOn w:val="style5"/>
    <w:qFormat/>
    <w:rPr>
      <w:rFonts w:ascii="Tahoma" w:hAnsi="Tahoma" w:cs="Tahoma"/>
      <w:sz w:val="16"/>
      <w:szCs w:val="16"/>
    </w:rPr>
  </w:style>
  <w:style w:type="paragraph" w:styleId="style13" w:customStyle="1">
    <w:name w:val=" Знак Знак Знак Знак"/>
    <w:basedOn w:val="style5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character" w:styleId="style14" w:customStyle="1">
    <w:name w:val="Основной шрифт абзаца"/>
    <w:basedOn w:val="style2"/>
    <w:qFormat/>
  </w:style>
  <w:style w:type="character" w:styleId="style15" w:customStyle="1">
    <w:name w:val="Internet link"/>
    <w:basedOn w:val="style2"/>
    <w:qFormat/>
    <w:rPr>
      <w:color w:val="0000ff"/>
      <w:u w:val="single"/>
    </w:rPr>
  </w:style>
  <w:style w:type="character" w:styleId="style16" w:customStyle="1">
    <w:name w:val="Default Paragraph Font"/>
    <w:basedOn w:val="style2"/>
    <w:qFormat/>
  </w:style>
  <w:style w:type="character" w:styleId="style17" w:customStyle="1">
    <w:name w:val="Visited Internet Link"/>
    <w:basedOn w:val="style16"/>
    <w:qFormat/>
    <w:rPr>
      <w:color w:val="954f72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web.telegram.org/k/#@rosreestr_altaiskii_krai" TargetMode="External"/><Relationship Id="rId15" Type="http://schemas.openxmlformats.org/officeDocument/2006/relationships/hyperlink" Target="https://ok.ru/rosreestr22alt.krai" TargetMode="External"/><Relationship Id="rId16" Type="http://schemas.openxmlformats.org/officeDocument/2006/relationships/hyperlink" Target="https://vk.com/video-46688657_456239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3684</Characters>
  <CharactersWithSpaces>4274</CharactersWithSpaces>
  <Pages>3</Pages>
  <Paragraphs>14</Paragraphs>
  <Words>451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Дисквалификация арбитражного управляющего</dc:title>
  <cp:lastModifiedBy>Р7-Офис/2024.3.1.523</cp:lastModifiedBy>
  <dcterms:created xsi:type="dcterms:W3CDTF">2024-11-01T14:15:00</dcterms:created>
  <dcterms:modified xsi:type="dcterms:W3CDTF">2024-11-02T11:50:30.787446454</dcterms:modified>
</cp:coreProperties>
</file>